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Layout w:type="fixed"/>
        <w:tblCellMar>
          <w:top w:w="57" w:type="dxa"/>
          <w:bottom w:w="57" w:type="dxa"/>
        </w:tblCellMar>
        <w:tblLook w:val="0000" w:firstRow="0" w:lastRow="0" w:firstColumn="0" w:lastColumn="0" w:noHBand="0" w:noVBand="0"/>
      </w:tblPr>
      <w:tblGrid>
        <w:gridCol w:w="3284"/>
        <w:gridCol w:w="7490"/>
      </w:tblGrid>
      <w:tr w:rsidR="00D36F7A" w:rsidRPr="00E477D9" w14:paraId="13457347"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1E99C86E" w14:textId="17F6EDD7" w:rsidR="00D36F7A" w:rsidRPr="00E477D9" w:rsidRDefault="00D36F7A" w:rsidP="00510BA1">
            <w:pPr>
              <w:snapToGrid w:val="0"/>
              <w:jc w:val="both"/>
              <w:rPr>
                <w:rFonts w:ascii="Arial" w:hAnsi="Arial" w:cs="Arial"/>
                <w:b/>
                <w:sz w:val="22"/>
                <w:szCs w:val="22"/>
              </w:rPr>
            </w:pPr>
            <w:bookmarkStart w:id="0" w:name="_GoBack"/>
            <w:bookmarkEnd w:id="0"/>
            <w:r>
              <w:rPr>
                <w:rFonts w:ascii="Arial" w:hAnsi="Arial" w:cs="Arial"/>
                <w:b/>
                <w:sz w:val="22"/>
                <w:szCs w:val="22"/>
              </w:rPr>
              <w:t>Job t</w:t>
            </w:r>
            <w:r w:rsidRPr="00E477D9">
              <w:rPr>
                <w:rFonts w:ascii="Arial" w:hAnsi="Arial" w:cs="Arial"/>
                <w:b/>
                <w:sz w:val="22"/>
                <w:szCs w:val="22"/>
              </w:rPr>
              <w:t>itle:</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4F12624D" w:rsidR="00D36F7A" w:rsidRPr="00E477D9" w:rsidRDefault="00A367E6" w:rsidP="00D36F7A">
            <w:pPr>
              <w:snapToGrid w:val="0"/>
              <w:jc w:val="both"/>
              <w:rPr>
                <w:rFonts w:ascii="Arial" w:hAnsi="Arial" w:cs="Arial"/>
                <w:b/>
                <w:sz w:val="22"/>
                <w:szCs w:val="22"/>
              </w:rPr>
            </w:pPr>
            <w:r>
              <w:rPr>
                <w:rFonts w:ascii="Arial" w:hAnsi="Arial" w:cs="Arial"/>
                <w:b/>
                <w:sz w:val="22"/>
                <w:szCs w:val="22"/>
              </w:rPr>
              <w:t>Physician Associates</w:t>
            </w:r>
          </w:p>
        </w:tc>
      </w:tr>
      <w:tr w:rsidR="00D36F7A" w:rsidRPr="00E477D9" w14:paraId="54E3A4F8"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6A641AE5" w14:textId="77777777"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Responsible 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00A1C7E3" w:rsidR="00D36F7A" w:rsidRPr="00E477D9" w:rsidRDefault="00D36F7A" w:rsidP="00D36F7A">
            <w:pPr>
              <w:snapToGrid w:val="0"/>
              <w:jc w:val="both"/>
              <w:rPr>
                <w:rFonts w:ascii="Arial" w:hAnsi="Arial" w:cs="Arial"/>
                <w:b/>
                <w:sz w:val="22"/>
                <w:szCs w:val="22"/>
              </w:rPr>
            </w:pPr>
          </w:p>
        </w:tc>
      </w:tr>
      <w:tr w:rsidR="00AB4DFA" w:rsidRPr="00E477D9" w14:paraId="6DABA176"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7D97BD98" w14:textId="4E763AFD" w:rsidR="00AB4DFA" w:rsidRPr="00E477D9" w:rsidRDefault="00857398" w:rsidP="00510BA1">
            <w:pPr>
              <w:snapToGrid w:val="0"/>
              <w:jc w:val="both"/>
              <w:rPr>
                <w:rFonts w:ascii="Arial" w:hAnsi="Arial" w:cs="Arial"/>
                <w:b/>
                <w:sz w:val="22"/>
                <w:szCs w:val="22"/>
              </w:rPr>
            </w:pPr>
            <w:r>
              <w:rPr>
                <w:rFonts w:ascii="Arial" w:hAnsi="Arial" w:cs="Arial"/>
                <w:b/>
                <w:sz w:val="22"/>
                <w:szCs w:val="22"/>
              </w:rPr>
              <w:t>Accountable 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796A" w14:textId="77777777" w:rsidR="00AB4DFA" w:rsidRPr="00E477D9" w:rsidRDefault="00AB4DFA" w:rsidP="00D36F7A">
            <w:pPr>
              <w:snapToGrid w:val="0"/>
              <w:jc w:val="both"/>
              <w:rPr>
                <w:rFonts w:ascii="Arial" w:hAnsi="Arial" w:cs="Arial"/>
                <w:b/>
                <w:sz w:val="22"/>
                <w:szCs w:val="22"/>
              </w:rPr>
            </w:pPr>
          </w:p>
        </w:tc>
      </w:tr>
      <w:tr w:rsidR="00D36F7A" w:rsidRPr="00E477D9" w14:paraId="773F6E65"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B65461B" w14:textId="4B00D6AE"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1. Job Role</w:t>
            </w:r>
            <w:r>
              <w:rPr>
                <w:rFonts w:ascii="Arial" w:hAnsi="Arial" w:cs="Arial"/>
                <w:b/>
                <w:sz w:val="22"/>
                <w:szCs w:val="22"/>
              </w:rPr>
              <w:t xml:space="preserve"> / </w:t>
            </w:r>
            <w:r w:rsidRPr="00E477D9">
              <w:rPr>
                <w:rFonts w:ascii="Arial" w:hAnsi="Arial" w:cs="Arial"/>
                <w:b/>
                <w:sz w:val="22"/>
                <w:szCs w:val="22"/>
              </w:rPr>
              <w:t>Purpose:</w:t>
            </w:r>
          </w:p>
        </w:tc>
      </w:tr>
      <w:tr w:rsidR="00D36F7A" w:rsidRPr="00E477D9" w14:paraId="3F25EB90" w14:textId="77777777" w:rsidTr="000B36C4">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052A3D" w14:textId="77777777" w:rsidR="00A367E6" w:rsidRPr="00A367E6" w:rsidRDefault="00A367E6" w:rsidP="00A367E6">
            <w:pPr>
              <w:spacing w:before="240" w:after="240"/>
              <w:jc w:val="both"/>
              <w:rPr>
                <w:rFonts w:ascii="Arial" w:hAnsi="Arial" w:cs="Arial"/>
                <w:sz w:val="22"/>
              </w:rPr>
            </w:pPr>
            <w:r w:rsidRPr="00A367E6">
              <w:rPr>
                <w:rFonts w:ascii="Arial" w:hAnsi="Arial" w:cs="Arial"/>
                <w:sz w:val="22"/>
              </w:rPr>
              <w:t>A physician associate (PA) is a trained healthcare professional who works directly under the supervision of a doctor as part of the medical team. They are usually generalists with broad medical knowledge but can develop expertise/specialisms in a particular field.</w:t>
            </w:r>
          </w:p>
          <w:p w14:paraId="7A0223D7" w14:textId="5D322759" w:rsidR="00D36F7A" w:rsidRPr="00533C35" w:rsidRDefault="00A367E6" w:rsidP="00A367E6">
            <w:pPr>
              <w:spacing w:before="240" w:after="240"/>
              <w:jc w:val="both"/>
              <w:rPr>
                <w:rFonts w:ascii="Arial" w:hAnsi="Arial" w:cs="Arial"/>
                <w:sz w:val="22"/>
              </w:rPr>
            </w:pPr>
            <w:r w:rsidRPr="00A367E6">
              <w:rPr>
                <w:rFonts w:ascii="Arial" w:hAnsi="Arial" w:cs="Arial"/>
                <w:sz w:val="22"/>
              </w:rPr>
              <w:t>The responsibilities of the role include direct patient contact through assessment, examination, investigation, diagnosis and treatment. Physician associates will have a key role in supporting delivery of Network Contract DES Services.</w:t>
            </w:r>
          </w:p>
        </w:tc>
      </w:tr>
      <w:tr w:rsidR="00D36F7A" w:rsidRPr="00E477D9" w14:paraId="797DF63C"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CCAC1EA" w14:textId="77777777"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 xml:space="preserve">2. </w:t>
            </w:r>
            <w:r>
              <w:rPr>
                <w:rFonts w:ascii="Arial" w:hAnsi="Arial" w:cs="Arial"/>
                <w:b/>
                <w:sz w:val="22"/>
                <w:szCs w:val="22"/>
              </w:rPr>
              <w:t>Key Duties</w:t>
            </w:r>
            <w:r w:rsidRPr="00E477D9">
              <w:rPr>
                <w:rFonts w:ascii="Arial" w:hAnsi="Arial" w:cs="Arial"/>
                <w:b/>
                <w:sz w:val="22"/>
                <w:szCs w:val="22"/>
              </w:rPr>
              <w:t xml:space="preserve"> </w:t>
            </w:r>
            <w:r>
              <w:rPr>
                <w:rFonts w:ascii="Arial" w:hAnsi="Arial" w:cs="Arial"/>
                <w:b/>
                <w:sz w:val="22"/>
                <w:szCs w:val="22"/>
              </w:rPr>
              <w:t>&amp;</w:t>
            </w:r>
            <w:r w:rsidRPr="00E477D9">
              <w:rPr>
                <w:rFonts w:ascii="Arial" w:hAnsi="Arial" w:cs="Arial"/>
                <w:b/>
                <w:sz w:val="22"/>
                <w:szCs w:val="22"/>
              </w:rPr>
              <w:t xml:space="preserve"> Responsibilities</w:t>
            </w:r>
            <w:r>
              <w:rPr>
                <w:rFonts w:ascii="Arial" w:hAnsi="Arial" w:cs="Arial"/>
                <w:b/>
                <w:sz w:val="22"/>
                <w:szCs w:val="22"/>
              </w:rPr>
              <w:t>:</w:t>
            </w:r>
          </w:p>
        </w:tc>
      </w:tr>
      <w:tr w:rsidR="00D36F7A" w:rsidRPr="00E477D9" w14:paraId="48952B22" w14:textId="77777777" w:rsidTr="000B36C4">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9FBFC" w14:textId="77777777" w:rsidR="00A367E6" w:rsidRPr="00A367E6" w:rsidRDefault="00A367E6" w:rsidP="00A367E6">
            <w:pPr>
              <w:pStyle w:val="NormalWeb"/>
              <w:spacing w:before="240" w:beforeAutospacing="0"/>
              <w:rPr>
                <w:rFonts w:ascii="ArialMT" w:hAnsi="ArialMT"/>
                <w:sz w:val="22"/>
                <w:szCs w:val="22"/>
              </w:rPr>
            </w:pPr>
            <w:r w:rsidRPr="00A367E6">
              <w:rPr>
                <w:rFonts w:ascii="ArialMT" w:hAnsi="ArialMT"/>
                <w:sz w:val="22"/>
                <w:szCs w:val="22"/>
              </w:rPr>
              <w:t xml:space="preserve">The following sets out the key role responsibilities for a physician associate: </w:t>
            </w:r>
          </w:p>
          <w:p w14:paraId="3D34D8AD" w14:textId="77777777"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Physician associates will provide first point of contact care for patients presenting with undifferentiated, undiagnosed problems utilising history-taking, physical examinations and clinical decision-making skills to establish a working diagnosis and management plan in partnership with the patient (and their carers where applicable). </w:t>
            </w:r>
          </w:p>
          <w:p w14:paraId="2F692E6E" w14:textId="77777777"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They will also review, analysis and action diagnostic test results. </w:t>
            </w:r>
          </w:p>
          <w:p w14:paraId="7126F3AC" w14:textId="4777804A"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They will deliver integrated patient centred</w:t>
            </w:r>
            <w:r>
              <w:rPr>
                <w:rFonts w:ascii="ArialMT" w:hAnsi="ArialMT"/>
                <w:sz w:val="22"/>
                <w:szCs w:val="22"/>
              </w:rPr>
              <w:t xml:space="preserve"> </w:t>
            </w:r>
            <w:r w:rsidRPr="00A367E6">
              <w:rPr>
                <w:rFonts w:ascii="ArialMT" w:hAnsi="ArialMT"/>
                <w:sz w:val="22"/>
                <w:szCs w:val="22"/>
              </w:rPr>
              <w:t xml:space="preserve">care through appropriate working with the wider primary care multi-disciplinary team and social care networks. </w:t>
            </w:r>
          </w:p>
          <w:p w14:paraId="7E5EF2C9" w14:textId="77777777"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They will undertake face-to-face, telephone and online consultations for emergency or routine problems, as determined by the PCN, including management of patient's with long-term conditions. Where required by the PCN, physician associates can offer specialised clinics following appropriate training including (but not limited to) family planning, baby checks, COPD, asthma, diabetes and anticoagulation. </w:t>
            </w:r>
          </w:p>
          <w:p w14:paraId="1B94F90A" w14:textId="77777777"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They will undertake home visits and participate in duty rotas. </w:t>
            </w:r>
          </w:p>
          <w:p w14:paraId="3D22BD64" w14:textId="77777777"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Physician associates will provide health/disease promotion and prevention advice to patients. </w:t>
            </w:r>
          </w:p>
          <w:p w14:paraId="78C8671D" w14:textId="77777777"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Physician associates will utilise clinical guidelines and promote evidence-based practice and partake in clinical audits, significant event reviews and other research and analysis tasks. </w:t>
            </w:r>
          </w:p>
          <w:p w14:paraId="22ED5DCF" w14:textId="4B11F99A" w:rsidR="00A367E6" w:rsidRPr="00A367E6" w:rsidRDefault="00A367E6" w:rsidP="00A367E6">
            <w:pPr>
              <w:pStyle w:val="NormalWeb"/>
              <w:numPr>
                <w:ilvl w:val="0"/>
                <w:numId w:val="13"/>
              </w:numPr>
              <w:spacing w:before="180" w:beforeAutospacing="0" w:after="0" w:afterAutospacing="0"/>
              <w:rPr>
                <w:rFonts w:ascii="ArialMT" w:hAnsi="ArialMT"/>
                <w:sz w:val="22"/>
                <w:szCs w:val="22"/>
              </w:rPr>
            </w:pPr>
            <w:r w:rsidRPr="00A367E6">
              <w:rPr>
                <w:rFonts w:ascii="ArialMT" w:hAnsi="ArialMT"/>
                <w:sz w:val="22"/>
                <w:szCs w:val="22"/>
              </w:rPr>
              <w:t xml:space="preserve">Through participating in continuing professional development opportunities Physician associates will keep up to date with evidence-based knowledge and competence in all aspects of their role, meeting clinical governance guidelines for continuing professional development (CPD). </w:t>
            </w:r>
          </w:p>
          <w:p w14:paraId="22D7B706" w14:textId="43DF4F86" w:rsidR="00CF2D6A" w:rsidRPr="00A367E6" w:rsidRDefault="00A367E6" w:rsidP="00A367E6">
            <w:pPr>
              <w:pStyle w:val="NormalWeb"/>
              <w:spacing w:after="240" w:afterAutospacing="0"/>
              <w:jc w:val="both"/>
              <w:rPr>
                <w:rFonts w:ascii="ArialMT" w:hAnsi="ArialMT"/>
                <w:sz w:val="22"/>
                <w:szCs w:val="22"/>
              </w:rPr>
            </w:pPr>
            <w:r w:rsidRPr="00A367E6">
              <w:rPr>
                <w:rFonts w:ascii="ArialMT" w:hAnsi="ArialMT"/>
                <w:sz w:val="22"/>
                <w:szCs w:val="22"/>
              </w:rPr>
              <w:t xml:space="preserve">All physician associates will develop and agree a personal development plan (PDP) utilising a reflective approach to practice. They will operate under appropriate clinical supervision, with the PCN member practice's </w:t>
            </w:r>
            <w:r w:rsidRPr="00A367E6">
              <w:rPr>
                <w:rFonts w:ascii="ArialMT" w:hAnsi="ArialMT"/>
                <w:sz w:val="22"/>
                <w:szCs w:val="22"/>
              </w:rPr>
              <w:lastRenderedPageBreak/>
              <w:t xml:space="preserve">identifying a suitable named GP supervisor for each physician associate. The GP supervisor is not required to be physically present but must be readily available for consultation. </w:t>
            </w:r>
          </w:p>
        </w:tc>
      </w:tr>
      <w:tr w:rsidR="00D36F7A" w:rsidRPr="00E477D9" w14:paraId="4EFDE3FA"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A49BE8" w14:textId="77777777" w:rsidR="00D36F7A" w:rsidRPr="00056DD5" w:rsidRDefault="00D36F7A" w:rsidP="00510BA1">
            <w:pPr>
              <w:pStyle w:val="Default"/>
              <w:jc w:val="both"/>
              <w:rPr>
                <w:b/>
                <w:sz w:val="22"/>
                <w:szCs w:val="22"/>
              </w:rPr>
            </w:pPr>
            <w:r>
              <w:rPr>
                <w:b/>
                <w:sz w:val="22"/>
                <w:szCs w:val="22"/>
              </w:rPr>
              <w:lastRenderedPageBreak/>
              <w:t>3. Other Responsibilities</w:t>
            </w:r>
          </w:p>
        </w:tc>
      </w:tr>
      <w:tr w:rsidR="00D36F7A" w:rsidRPr="00E477D9" w14:paraId="73B26D60" w14:textId="77777777" w:rsidTr="000B36C4">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D36F7A" w:rsidRDefault="00D36F7A" w:rsidP="00B50DF1">
            <w:pPr>
              <w:pStyle w:val="Default"/>
              <w:spacing w:before="240" w:after="120"/>
              <w:jc w:val="both"/>
              <w:rPr>
                <w:b/>
                <w:sz w:val="22"/>
                <w:szCs w:val="22"/>
              </w:rPr>
            </w:pPr>
            <w:r>
              <w:rPr>
                <w:b/>
                <w:sz w:val="22"/>
                <w:szCs w:val="22"/>
              </w:rPr>
              <w:t>Health and Safety</w:t>
            </w:r>
          </w:p>
          <w:p w14:paraId="4AD6268D" w14:textId="77777777" w:rsidR="00D36F7A" w:rsidRDefault="00D36F7A" w:rsidP="00B50DF1">
            <w:pPr>
              <w:pStyle w:val="Default"/>
              <w:numPr>
                <w:ilvl w:val="0"/>
                <w:numId w:val="4"/>
              </w:numPr>
              <w:spacing w:after="120"/>
              <w:jc w:val="both"/>
              <w:rPr>
                <w:sz w:val="22"/>
                <w:szCs w:val="22"/>
              </w:rPr>
            </w:pPr>
            <w:r>
              <w:rPr>
                <w:sz w:val="22"/>
                <w:szCs w:val="22"/>
              </w:rPr>
              <w:t>To comply with the Health and Safety at Work etc. Act 1974.</w:t>
            </w:r>
          </w:p>
          <w:p w14:paraId="1491DC8C" w14:textId="77777777" w:rsidR="00D36F7A" w:rsidRPr="00A64CBB" w:rsidRDefault="00D36F7A" w:rsidP="00B50DF1">
            <w:pPr>
              <w:pStyle w:val="Default"/>
              <w:numPr>
                <w:ilvl w:val="0"/>
                <w:numId w:val="4"/>
              </w:numPr>
              <w:spacing w:after="120"/>
              <w:jc w:val="both"/>
              <w:rPr>
                <w:sz w:val="22"/>
                <w:szCs w:val="22"/>
              </w:rPr>
            </w:pPr>
            <w:r>
              <w:rPr>
                <w:sz w:val="22"/>
                <w:szCs w:val="22"/>
              </w:rPr>
              <w:t>To take responsibility for their own health and safety and that of other persons who may be affected by their own acts or omissions.</w:t>
            </w:r>
          </w:p>
          <w:p w14:paraId="3AC69ADC" w14:textId="77777777" w:rsidR="00D36F7A" w:rsidRDefault="00D36F7A" w:rsidP="00B50DF1">
            <w:pPr>
              <w:pStyle w:val="Default"/>
              <w:spacing w:before="240" w:after="120"/>
              <w:jc w:val="both"/>
              <w:rPr>
                <w:b/>
                <w:sz w:val="22"/>
                <w:szCs w:val="22"/>
              </w:rPr>
            </w:pPr>
            <w:r>
              <w:rPr>
                <w:b/>
                <w:sz w:val="22"/>
                <w:szCs w:val="22"/>
              </w:rPr>
              <w:t>Equality and Diversity</w:t>
            </w:r>
          </w:p>
          <w:p w14:paraId="702FC602" w14:textId="77777777" w:rsidR="00D36F7A" w:rsidRPr="00510BA1" w:rsidRDefault="00D36F7A" w:rsidP="00B50DF1">
            <w:pPr>
              <w:pStyle w:val="Default"/>
              <w:numPr>
                <w:ilvl w:val="0"/>
                <w:numId w:val="4"/>
              </w:numPr>
              <w:spacing w:after="120"/>
              <w:jc w:val="both"/>
              <w:rPr>
                <w:sz w:val="22"/>
                <w:szCs w:val="22"/>
              </w:rPr>
            </w:pPr>
            <w:r w:rsidRPr="00510BA1">
              <w:rPr>
                <w:sz w:val="22"/>
                <w:szCs w:val="22"/>
              </w:rPr>
              <w:t>To carry out at all times their responsibilities in line with Equal Opportunities Policy and Procedure.</w:t>
            </w:r>
          </w:p>
          <w:p w14:paraId="73CC1DA1" w14:textId="77777777" w:rsidR="00D36F7A" w:rsidRPr="00510BA1" w:rsidRDefault="00D36F7A" w:rsidP="00B50DF1">
            <w:pPr>
              <w:pStyle w:val="Default"/>
              <w:spacing w:before="240" w:after="120"/>
              <w:jc w:val="both"/>
              <w:rPr>
                <w:b/>
                <w:sz w:val="22"/>
                <w:szCs w:val="22"/>
              </w:rPr>
            </w:pPr>
            <w:r w:rsidRPr="00510BA1">
              <w:rPr>
                <w:b/>
                <w:sz w:val="22"/>
                <w:szCs w:val="22"/>
              </w:rPr>
              <w:t>Risk Management and Clinical Governance</w:t>
            </w:r>
          </w:p>
          <w:p w14:paraId="7899A0B2" w14:textId="77777777" w:rsidR="00D36F7A" w:rsidRDefault="00D36F7A" w:rsidP="00B50DF1">
            <w:pPr>
              <w:pStyle w:val="Default"/>
              <w:numPr>
                <w:ilvl w:val="0"/>
                <w:numId w:val="4"/>
              </w:numPr>
              <w:spacing w:after="120"/>
              <w:jc w:val="both"/>
              <w:rPr>
                <w:sz w:val="22"/>
                <w:szCs w:val="22"/>
              </w:rPr>
            </w:pPr>
            <w:r>
              <w:rPr>
                <w:sz w:val="22"/>
                <w:szCs w:val="22"/>
              </w:rPr>
              <w:t>To work within the Clinical Governance Framework of the practice, incorporating Risk Management and all other quality initiatives and all aspects of CQC implementation.</w:t>
            </w:r>
          </w:p>
          <w:p w14:paraId="38B6CC91" w14:textId="77777777" w:rsidR="00D36F7A" w:rsidRDefault="00D36F7A" w:rsidP="00B50DF1">
            <w:pPr>
              <w:pStyle w:val="Default"/>
              <w:spacing w:before="240" w:after="120"/>
              <w:jc w:val="both"/>
              <w:rPr>
                <w:b/>
                <w:sz w:val="22"/>
                <w:szCs w:val="22"/>
              </w:rPr>
            </w:pPr>
            <w:r>
              <w:rPr>
                <w:b/>
                <w:sz w:val="22"/>
                <w:szCs w:val="22"/>
              </w:rPr>
              <w:t>Confidentiality</w:t>
            </w:r>
          </w:p>
          <w:p w14:paraId="57D2B2E9" w14:textId="77777777" w:rsidR="00D36F7A" w:rsidRDefault="00D36F7A" w:rsidP="00B50DF1">
            <w:pPr>
              <w:pStyle w:val="Default"/>
              <w:numPr>
                <w:ilvl w:val="0"/>
                <w:numId w:val="4"/>
              </w:numPr>
              <w:spacing w:after="120"/>
              <w:jc w:val="both"/>
              <w:rPr>
                <w:sz w:val="22"/>
                <w:szCs w:val="22"/>
              </w:rPr>
            </w:pPr>
            <w:r>
              <w:rPr>
                <w:sz w:val="22"/>
                <w:szCs w:val="22"/>
              </w:rPr>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4926857C" w14:textId="77777777" w:rsidR="00D36F7A" w:rsidRDefault="00D36F7A" w:rsidP="00B50DF1">
            <w:pPr>
              <w:pStyle w:val="Default"/>
              <w:spacing w:before="240" w:after="120"/>
              <w:jc w:val="both"/>
              <w:rPr>
                <w:b/>
                <w:sz w:val="22"/>
                <w:szCs w:val="22"/>
              </w:rPr>
            </w:pPr>
            <w:r w:rsidRPr="00BF08F6">
              <w:rPr>
                <w:b/>
                <w:sz w:val="22"/>
                <w:szCs w:val="22"/>
              </w:rPr>
              <w:t>Safeguarding</w:t>
            </w:r>
          </w:p>
          <w:p w14:paraId="65DBD504" w14:textId="1630ABC0" w:rsidR="00D36F7A" w:rsidRPr="00865BF5" w:rsidRDefault="00D36F7A" w:rsidP="00B50DF1">
            <w:pPr>
              <w:pStyle w:val="Default"/>
              <w:numPr>
                <w:ilvl w:val="0"/>
                <w:numId w:val="4"/>
              </w:numPr>
              <w:spacing w:after="120"/>
              <w:jc w:val="both"/>
              <w:rPr>
                <w:b/>
                <w:sz w:val="22"/>
                <w:szCs w:val="22"/>
              </w:rPr>
            </w:pPr>
            <w:r>
              <w:rPr>
                <w:sz w:val="22"/>
                <w:szCs w:val="22"/>
              </w:rPr>
              <w:t>Whilst in post, s</w:t>
            </w:r>
            <w:r w:rsidRPr="00865BF5">
              <w:rPr>
                <w:sz w:val="22"/>
                <w:szCs w:val="22"/>
              </w:rPr>
              <w:t xml:space="preserve">taff are expected to acquire and update their knowledge on safeguarding as per the intercollegiate document requirements and </w:t>
            </w:r>
            <w:r>
              <w:rPr>
                <w:sz w:val="22"/>
                <w:szCs w:val="22"/>
              </w:rPr>
              <w:t>SH</w:t>
            </w:r>
            <w:r w:rsidRPr="00865BF5">
              <w:rPr>
                <w:sz w:val="22"/>
                <w:szCs w:val="22"/>
              </w:rPr>
              <w:t>P policies.</w:t>
            </w:r>
          </w:p>
          <w:p w14:paraId="3D87D4AB" w14:textId="77777777" w:rsidR="00D36F7A" w:rsidRPr="00ED1631" w:rsidRDefault="00D36F7A" w:rsidP="00B50DF1">
            <w:pPr>
              <w:pStyle w:val="Default"/>
              <w:spacing w:before="240" w:after="120"/>
              <w:jc w:val="both"/>
              <w:rPr>
                <w:b/>
                <w:sz w:val="22"/>
                <w:szCs w:val="22"/>
              </w:rPr>
            </w:pPr>
            <w:r>
              <w:rPr>
                <w:b/>
                <w:sz w:val="22"/>
                <w:szCs w:val="22"/>
              </w:rPr>
              <w:t>Professional development</w:t>
            </w:r>
          </w:p>
          <w:p w14:paraId="1EF67246" w14:textId="77777777" w:rsidR="00D36F7A" w:rsidRDefault="00D36F7A" w:rsidP="00B50DF1">
            <w:pPr>
              <w:pStyle w:val="Default"/>
              <w:numPr>
                <w:ilvl w:val="0"/>
                <w:numId w:val="4"/>
              </w:numPr>
              <w:spacing w:after="120"/>
              <w:jc w:val="both"/>
              <w:rPr>
                <w:sz w:val="22"/>
                <w:szCs w:val="22"/>
              </w:rPr>
            </w:pPr>
            <w:r>
              <w:rPr>
                <w:sz w:val="22"/>
                <w:szCs w:val="22"/>
              </w:rPr>
              <w:t>The post holder will participate in any training programme implemented by the practice as part of this employment</w:t>
            </w:r>
          </w:p>
          <w:p w14:paraId="6F8AAC36" w14:textId="77777777" w:rsidR="00D36F7A" w:rsidRDefault="00D36F7A" w:rsidP="00B50DF1">
            <w:pPr>
              <w:pStyle w:val="Default"/>
              <w:numPr>
                <w:ilvl w:val="0"/>
                <w:numId w:val="4"/>
              </w:numPr>
              <w:spacing w:after="120"/>
              <w:jc w:val="both"/>
              <w:rPr>
                <w:sz w:val="22"/>
                <w:szCs w:val="22"/>
              </w:rPr>
            </w:pPr>
            <w:r>
              <w:rPr>
                <w:sz w:val="22"/>
                <w:szCs w:val="22"/>
              </w:rPr>
              <w:t>To participate in an annual individual performance review, including taking responsibility for maintaining a record of own personal and/or professional development</w:t>
            </w:r>
          </w:p>
          <w:p w14:paraId="35FD8A14" w14:textId="77777777" w:rsidR="00D36F7A" w:rsidRDefault="00D36F7A" w:rsidP="00B50DF1">
            <w:pPr>
              <w:pStyle w:val="Default"/>
              <w:spacing w:before="240" w:after="120"/>
              <w:jc w:val="both"/>
              <w:rPr>
                <w:b/>
                <w:sz w:val="22"/>
                <w:szCs w:val="22"/>
              </w:rPr>
            </w:pPr>
            <w:r>
              <w:rPr>
                <w:b/>
                <w:sz w:val="22"/>
                <w:szCs w:val="22"/>
              </w:rPr>
              <w:t>General</w:t>
            </w:r>
          </w:p>
          <w:p w14:paraId="5AA701D9" w14:textId="77777777" w:rsidR="00D36F7A" w:rsidRDefault="00D36F7A" w:rsidP="00B50DF1">
            <w:pPr>
              <w:pStyle w:val="Default"/>
              <w:numPr>
                <w:ilvl w:val="0"/>
                <w:numId w:val="4"/>
              </w:numPr>
              <w:spacing w:after="120"/>
              <w:jc w:val="both"/>
              <w:rPr>
                <w:sz w:val="22"/>
                <w:szCs w:val="22"/>
              </w:rPr>
            </w:pPr>
            <w:r>
              <w:rPr>
                <w:sz w:val="22"/>
                <w:szCs w:val="22"/>
              </w:rPr>
              <w:t>To undertake any other duties commensurate with the role, within the bounds of his/her own competence as guided by the attached management framework.</w:t>
            </w:r>
          </w:p>
          <w:p w14:paraId="53FEC0D7" w14:textId="2D1CCF2A" w:rsidR="00D36F7A" w:rsidRDefault="00D36F7A" w:rsidP="00B50DF1">
            <w:pPr>
              <w:pStyle w:val="Default"/>
              <w:numPr>
                <w:ilvl w:val="0"/>
                <w:numId w:val="4"/>
              </w:numPr>
              <w:spacing w:after="120"/>
              <w:jc w:val="both"/>
              <w:rPr>
                <w:sz w:val="22"/>
                <w:szCs w:val="22"/>
              </w:rPr>
            </w:pPr>
            <w:r>
              <w:rPr>
                <w:sz w:val="22"/>
                <w:szCs w:val="22"/>
              </w:rPr>
              <w:t>To work across the various SHP sites as required.</w:t>
            </w:r>
          </w:p>
          <w:p w14:paraId="69611F87" w14:textId="77777777" w:rsidR="00D36F7A" w:rsidRDefault="00D36F7A" w:rsidP="00B50DF1">
            <w:pPr>
              <w:pStyle w:val="Default"/>
              <w:numPr>
                <w:ilvl w:val="0"/>
                <w:numId w:val="4"/>
              </w:numPr>
              <w:spacing w:after="120"/>
              <w:jc w:val="both"/>
              <w:rPr>
                <w:sz w:val="22"/>
                <w:szCs w:val="22"/>
              </w:rPr>
            </w:pPr>
            <w:r w:rsidRPr="00BC264F">
              <w:rPr>
                <w:sz w:val="22"/>
                <w:szCs w:val="22"/>
              </w:rPr>
              <w:t xml:space="preserve">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w:t>
            </w:r>
            <w:r w:rsidRPr="00BC264F">
              <w:rPr>
                <w:sz w:val="22"/>
                <w:szCs w:val="22"/>
              </w:rPr>
              <w:lastRenderedPageBreak/>
              <w:t>flexible and accommodating, following consultation, in terms of any changes to operating times in the future.</w:t>
            </w:r>
          </w:p>
          <w:p w14:paraId="3D24DA82" w14:textId="1DE811FE" w:rsidR="007B07F2" w:rsidRPr="007B07F2" w:rsidRDefault="007B07F2" w:rsidP="00B50DF1">
            <w:pPr>
              <w:pStyle w:val="Default"/>
              <w:spacing w:before="240" w:after="120"/>
              <w:jc w:val="both"/>
              <w:rPr>
                <w:sz w:val="22"/>
                <w:szCs w:val="22"/>
              </w:rPr>
            </w:pPr>
            <w:r w:rsidRPr="007B07F2">
              <w:rPr>
                <w:b/>
                <w:bCs/>
                <w:sz w:val="22"/>
                <w:szCs w:val="22"/>
              </w:rPr>
              <w:t>Vision Statement:</w:t>
            </w:r>
            <w:r w:rsidRPr="007B07F2">
              <w:rPr>
                <w:sz w:val="22"/>
                <w:szCs w:val="22"/>
              </w:rPr>
              <w:t xml:space="preserve"> To be the most respected Primary Care provider in the Birmingham and Solihull Region.</w:t>
            </w:r>
          </w:p>
          <w:p w14:paraId="49DF7C47" w14:textId="77777777" w:rsidR="007B07F2" w:rsidRPr="007B07F2" w:rsidRDefault="007B07F2" w:rsidP="007B07F2">
            <w:pPr>
              <w:pStyle w:val="Default"/>
              <w:spacing w:before="240" w:after="120"/>
              <w:jc w:val="both"/>
              <w:rPr>
                <w:b/>
                <w:bCs/>
                <w:sz w:val="22"/>
                <w:szCs w:val="22"/>
              </w:rPr>
            </w:pPr>
            <w:r w:rsidRPr="007B07F2">
              <w:rPr>
                <w:b/>
                <w:bCs/>
                <w:sz w:val="22"/>
                <w:szCs w:val="22"/>
              </w:rPr>
              <w:t>Mission Statement:</w:t>
            </w:r>
          </w:p>
          <w:p w14:paraId="1DAF7B79" w14:textId="77777777" w:rsidR="007B07F2" w:rsidRPr="007B07F2" w:rsidRDefault="007B07F2" w:rsidP="007B07F2">
            <w:pPr>
              <w:pStyle w:val="Default"/>
              <w:spacing w:after="120"/>
              <w:jc w:val="both"/>
              <w:rPr>
                <w:sz w:val="22"/>
                <w:szCs w:val="22"/>
              </w:rPr>
            </w:pPr>
            <w:r w:rsidRPr="007B07F2">
              <w:rPr>
                <w:b/>
                <w:bCs/>
                <w:sz w:val="22"/>
                <w:szCs w:val="22"/>
              </w:rPr>
              <w:t>S</w:t>
            </w:r>
            <w:r w:rsidRPr="007B07F2">
              <w:rPr>
                <w:sz w:val="22"/>
                <w:szCs w:val="22"/>
              </w:rPr>
              <w:t>ustainable Primary Care services that meet the needs of our patients and commissioners.</w:t>
            </w:r>
          </w:p>
          <w:p w14:paraId="702095F7" w14:textId="77777777" w:rsidR="007B07F2" w:rsidRPr="007B07F2" w:rsidRDefault="007B07F2" w:rsidP="007B07F2">
            <w:pPr>
              <w:pStyle w:val="Default"/>
              <w:spacing w:after="120"/>
              <w:jc w:val="both"/>
              <w:rPr>
                <w:sz w:val="22"/>
                <w:szCs w:val="22"/>
              </w:rPr>
            </w:pPr>
            <w:r w:rsidRPr="007B07F2">
              <w:rPr>
                <w:b/>
                <w:bCs/>
                <w:sz w:val="22"/>
                <w:szCs w:val="22"/>
              </w:rPr>
              <w:t>H</w:t>
            </w:r>
            <w:r w:rsidRPr="007B07F2">
              <w:rPr>
                <w:sz w:val="22"/>
                <w:szCs w:val="22"/>
              </w:rPr>
              <w:t>ave a united, strong and financially viable organisation.</w:t>
            </w:r>
          </w:p>
          <w:p w14:paraId="6F38DE3B" w14:textId="2D2609BC" w:rsidR="004A4C3E" w:rsidRPr="00056DD5" w:rsidRDefault="007B07F2" w:rsidP="007B07F2">
            <w:pPr>
              <w:shd w:val="clear" w:color="auto" w:fill="FFFFFF"/>
              <w:spacing w:after="240"/>
            </w:pPr>
            <w:r w:rsidRPr="007B07F2">
              <w:rPr>
                <w:rFonts w:ascii="Arial" w:hAnsi="Arial" w:cs="Arial"/>
                <w:b/>
                <w:bCs/>
                <w:sz w:val="22"/>
                <w:szCs w:val="22"/>
              </w:rPr>
              <w:t>P</w:t>
            </w:r>
            <w:r w:rsidRPr="007B07F2">
              <w:rPr>
                <w:rFonts w:ascii="Arial" w:hAnsi="Arial" w:cs="Arial"/>
                <w:sz w:val="22"/>
                <w:szCs w:val="22"/>
              </w:rPr>
              <w:t>ractice of choice for our patients and the employer of choice for our people.</w:t>
            </w:r>
          </w:p>
        </w:tc>
      </w:tr>
    </w:tbl>
    <w:p w14:paraId="48E4CD8C" w14:textId="77777777" w:rsidR="00AC6DA0" w:rsidRDefault="00AC6DA0" w:rsidP="00D36F7A">
      <w:pPr>
        <w:jc w:val="both"/>
      </w:pPr>
    </w:p>
    <w:sectPr w:rsidR="00AC6D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DEA4B" w14:textId="77777777" w:rsidR="00CF56B0" w:rsidRDefault="00CF56B0" w:rsidP="00D36F7A">
      <w:r>
        <w:separator/>
      </w:r>
    </w:p>
  </w:endnote>
  <w:endnote w:type="continuationSeparator" w:id="0">
    <w:p w14:paraId="7C2A1AF1" w14:textId="77777777" w:rsidR="00CF56B0" w:rsidRDefault="00CF56B0"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3C0CA" w14:textId="77777777" w:rsidR="00CF56B0" w:rsidRDefault="00CF56B0" w:rsidP="00D36F7A">
      <w:r>
        <w:separator/>
      </w:r>
    </w:p>
  </w:footnote>
  <w:footnote w:type="continuationSeparator" w:id="0">
    <w:p w14:paraId="52570438" w14:textId="77777777" w:rsidR="00CF56B0" w:rsidRDefault="00CF56B0" w:rsidP="00D3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DF0A12" w:rsidRDefault="00D36F7A" w:rsidP="00D36F7A">
          <w:pPr>
            <w:widowControl w:val="0"/>
            <w:rPr>
              <w:rFonts w:ascii="Arial" w:eastAsia="Roboto" w:hAnsi="Arial" w:cs="Arial"/>
              <w:noProof/>
            </w:rPr>
          </w:pPr>
          <w:bookmarkStart w:id="1" w:name="_Hlk512343445"/>
          <w:bookmarkStart w:id="2" w:name="_Hlk512343446"/>
          <w:r>
            <w:rPr>
              <w:rFonts w:ascii="Arial" w:eastAsia="Roboto" w:hAnsi="Arial" w:cs="Arial"/>
              <w:noProof/>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DF0A12" w:rsidRDefault="00D36F7A" w:rsidP="00D36F7A">
          <w:pPr>
            <w:widowControl w:val="0"/>
            <w:rPr>
              <w:rFonts w:ascii="Arial" w:eastAsia="Roboto" w:hAnsi="Arial" w:cs="Arial"/>
            </w:rPr>
          </w:pPr>
        </w:p>
      </w:tc>
      <w:tc>
        <w:tcPr>
          <w:tcW w:w="2115" w:type="dxa"/>
          <w:shd w:val="clear" w:color="auto" w:fill="auto"/>
          <w:tcMar>
            <w:top w:w="100" w:type="dxa"/>
            <w:left w:w="100" w:type="dxa"/>
            <w:bottom w:w="100" w:type="dxa"/>
            <w:right w:w="100" w:type="dxa"/>
          </w:tcMar>
          <w:vAlign w:val="center"/>
        </w:tcPr>
        <w:p w14:paraId="39AFB350"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Document ID:</w:t>
          </w:r>
        </w:p>
      </w:tc>
      <w:tc>
        <w:tcPr>
          <w:tcW w:w="2835" w:type="dxa"/>
          <w:shd w:val="clear" w:color="auto" w:fill="auto"/>
          <w:tcMar>
            <w:top w:w="100" w:type="dxa"/>
            <w:left w:w="100" w:type="dxa"/>
            <w:bottom w:w="100" w:type="dxa"/>
            <w:right w:w="100" w:type="dxa"/>
          </w:tcMar>
          <w:vAlign w:val="center"/>
        </w:tcPr>
        <w:p w14:paraId="247ECC5F" w14:textId="56AB8CAF" w:rsidR="00D36F7A" w:rsidRPr="00DF0A12" w:rsidRDefault="00510BA1" w:rsidP="00D36F7A">
          <w:pPr>
            <w:widowControl w:val="0"/>
            <w:rPr>
              <w:rFonts w:ascii="Arial" w:eastAsia="Roboto" w:hAnsi="Arial" w:cs="Arial"/>
            </w:rPr>
          </w:pPr>
          <w:r>
            <w:rPr>
              <w:rFonts w:ascii="Arial" w:eastAsia="Roboto" w:hAnsi="Arial" w:cs="Arial"/>
            </w:rPr>
            <w:t>HR03-03</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FA7B9AA"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Issue Date:</w:t>
          </w:r>
        </w:p>
      </w:tc>
      <w:tc>
        <w:tcPr>
          <w:tcW w:w="2835" w:type="dxa"/>
          <w:shd w:val="clear" w:color="auto" w:fill="auto"/>
          <w:tcMar>
            <w:top w:w="100" w:type="dxa"/>
            <w:left w:w="100" w:type="dxa"/>
            <w:bottom w:w="100" w:type="dxa"/>
            <w:right w:w="100" w:type="dxa"/>
          </w:tcMar>
          <w:vAlign w:val="center"/>
        </w:tcPr>
        <w:p w14:paraId="408A8D18" w14:textId="77777777" w:rsidR="00D36F7A" w:rsidRPr="00DF0A12" w:rsidRDefault="00D36F7A" w:rsidP="00D36F7A">
          <w:pPr>
            <w:widowControl w:val="0"/>
            <w:rPr>
              <w:rFonts w:ascii="Arial" w:eastAsia="Roboto" w:hAnsi="Arial" w:cs="Arial"/>
            </w:rPr>
          </w:pPr>
          <w:r>
            <w:rPr>
              <w:rFonts w:ascii="Arial" w:eastAsia="Roboto" w:hAnsi="Arial" w:cs="Arial"/>
            </w:rPr>
            <w:t>8 January 2020</w:t>
          </w: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B973AC1"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Revision:</w:t>
          </w:r>
        </w:p>
      </w:tc>
      <w:tc>
        <w:tcPr>
          <w:tcW w:w="2835" w:type="dxa"/>
          <w:shd w:val="clear" w:color="auto" w:fill="auto"/>
          <w:tcMar>
            <w:top w:w="100" w:type="dxa"/>
            <w:left w:w="100" w:type="dxa"/>
            <w:bottom w:w="100" w:type="dxa"/>
            <w:right w:w="100" w:type="dxa"/>
          </w:tcMar>
          <w:vAlign w:val="center"/>
        </w:tcPr>
        <w:p w14:paraId="53B5DCBF" w14:textId="77777777" w:rsidR="00D36F7A" w:rsidRPr="00DF0A12" w:rsidRDefault="00D36F7A" w:rsidP="00D36F7A">
          <w:pPr>
            <w:widowControl w:val="0"/>
            <w:rPr>
              <w:rFonts w:ascii="Arial" w:eastAsia="Roboto" w:hAnsi="Arial" w:cs="Arial"/>
            </w:rPr>
          </w:pPr>
          <w:r w:rsidRPr="00DF0A12">
            <w:rPr>
              <w:rFonts w:ascii="Arial" w:eastAsia="Roboto" w:hAnsi="Arial" w:cs="Arial"/>
            </w:rPr>
            <w:t>1</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62C780DC" w:rsidR="00D36F7A" w:rsidRPr="00DF0A12" w:rsidRDefault="00D36F7A" w:rsidP="00D36F7A">
          <w:pPr>
            <w:widowControl w:val="0"/>
            <w:jc w:val="center"/>
            <w:rPr>
              <w:rFonts w:ascii="Arial" w:eastAsia="Roboto" w:hAnsi="Arial" w:cs="Arial"/>
              <w:b/>
            </w:rPr>
          </w:pPr>
          <w:r>
            <w:rPr>
              <w:rFonts w:ascii="Arial" w:eastAsia="Roboto" w:hAnsi="Arial" w:cs="Arial"/>
              <w:b/>
            </w:rPr>
            <w:t>Job Description</w:t>
          </w:r>
        </w:p>
      </w:tc>
      <w:tc>
        <w:tcPr>
          <w:tcW w:w="2115" w:type="dxa"/>
          <w:shd w:val="clear" w:color="auto" w:fill="auto"/>
          <w:tcMar>
            <w:top w:w="100" w:type="dxa"/>
            <w:left w:w="100" w:type="dxa"/>
            <w:bottom w:w="100" w:type="dxa"/>
            <w:right w:w="100" w:type="dxa"/>
          </w:tcMar>
          <w:vAlign w:val="center"/>
        </w:tcPr>
        <w:p w14:paraId="4AA12058"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DF0A12" w:rsidRDefault="00D36F7A" w:rsidP="00D36F7A">
          <w:pPr>
            <w:widowControl w:val="0"/>
            <w:rPr>
              <w:rFonts w:ascii="Arial" w:eastAsia="Roboto" w:hAnsi="Arial" w:cs="Arial"/>
            </w:rPr>
          </w:pPr>
          <w:r>
            <w:rPr>
              <w:rFonts w:ascii="Arial" w:eastAsia="Roboto" w:hAnsi="Arial" w:cs="Arial"/>
            </w:rPr>
            <w:t>HR</w:t>
          </w:r>
        </w:p>
      </w:tc>
    </w:tr>
    <w:bookmarkEnd w:id="1"/>
    <w:bookmarkEnd w:id="2"/>
  </w:tbl>
  <w:p w14:paraId="3D706565" w14:textId="77777777" w:rsidR="00D36F7A" w:rsidRDefault="00D36F7A" w:rsidP="00D3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043"/>
    <w:multiLevelType w:val="hybridMultilevel"/>
    <w:tmpl w:val="A20080F8"/>
    <w:lvl w:ilvl="0" w:tplc="23A84FE6">
      <w:start w:val="1"/>
      <w:numFmt w:val="bullet"/>
      <w:lvlText w:val=""/>
      <w:lvlJc w:val="left"/>
      <w:pPr>
        <w:ind w:left="1074" w:hanging="360"/>
      </w:pPr>
      <w:rPr>
        <w:rFonts w:ascii="Symbol" w:hAnsi="Symbol" w:hint="default"/>
        <w:sz w:val="2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C5763"/>
    <w:multiLevelType w:val="hybridMultilevel"/>
    <w:tmpl w:val="77E294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E7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201C14"/>
    <w:multiLevelType w:val="multilevel"/>
    <w:tmpl w:val="A2229F7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90E44"/>
    <w:multiLevelType w:val="hybridMultilevel"/>
    <w:tmpl w:val="7706BB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92107"/>
    <w:multiLevelType w:val="multilevel"/>
    <w:tmpl w:val="77C6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26EE5"/>
    <w:multiLevelType w:val="hybridMultilevel"/>
    <w:tmpl w:val="2D2EB1D6"/>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516B9"/>
    <w:multiLevelType w:val="multilevel"/>
    <w:tmpl w:val="E104DAA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10"/>
  </w:num>
  <w:num w:numId="8">
    <w:abstractNumId w:val="2"/>
  </w:num>
  <w:num w:numId="9">
    <w:abstractNumId w:val="11"/>
  </w:num>
  <w:num w:numId="10">
    <w:abstractNumId w:val="9"/>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E"/>
    <w:rsid w:val="00054F36"/>
    <w:rsid w:val="000B36C4"/>
    <w:rsid w:val="000E7E6D"/>
    <w:rsid w:val="00231D90"/>
    <w:rsid w:val="00481B77"/>
    <w:rsid w:val="004A4C3E"/>
    <w:rsid w:val="00510BA1"/>
    <w:rsid w:val="00533C35"/>
    <w:rsid w:val="007B07F2"/>
    <w:rsid w:val="00857398"/>
    <w:rsid w:val="00867A46"/>
    <w:rsid w:val="00905374"/>
    <w:rsid w:val="00A01F8A"/>
    <w:rsid w:val="00A166E0"/>
    <w:rsid w:val="00A367E6"/>
    <w:rsid w:val="00AB4DFA"/>
    <w:rsid w:val="00AC6DA0"/>
    <w:rsid w:val="00AE161E"/>
    <w:rsid w:val="00B332D3"/>
    <w:rsid w:val="00B50DF1"/>
    <w:rsid w:val="00BC39EF"/>
    <w:rsid w:val="00CF2D6A"/>
    <w:rsid w:val="00CF56B0"/>
    <w:rsid w:val="00D36F7A"/>
    <w:rsid w:val="00EC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15:docId w15:val="{15BC8770-6348-E445-B607-063DD30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510BA1"/>
    <w:pPr>
      <w:keepNext/>
      <w:tabs>
        <w:tab w:val="left" w:pos="2835"/>
      </w:tabs>
      <w:suppressAutoHyphens w:val="0"/>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10BA1"/>
    <w:rPr>
      <w:rFonts w:ascii="Tahoma" w:eastAsia="Times New Roman" w:hAnsi="Tahoma" w:cs="Tahoma"/>
      <w:b/>
      <w:sz w:val="24"/>
      <w:szCs w:val="24"/>
    </w:rPr>
  </w:style>
  <w:style w:type="paragraph" w:styleId="ListParagraph">
    <w:name w:val="List Paragraph"/>
    <w:basedOn w:val="Normal"/>
    <w:uiPriority w:val="34"/>
    <w:qFormat/>
    <w:rsid w:val="004A4C3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C1CBE"/>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05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7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449">
      <w:bodyDiv w:val="1"/>
      <w:marLeft w:val="0"/>
      <w:marRight w:val="0"/>
      <w:marTop w:val="0"/>
      <w:marBottom w:val="0"/>
      <w:divBdr>
        <w:top w:val="none" w:sz="0" w:space="0" w:color="auto"/>
        <w:left w:val="none" w:sz="0" w:space="0" w:color="auto"/>
        <w:bottom w:val="none" w:sz="0" w:space="0" w:color="auto"/>
        <w:right w:val="none" w:sz="0" w:space="0" w:color="auto"/>
      </w:divBdr>
      <w:divsChild>
        <w:div w:id="502404588">
          <w:marLeft w:val="0"/>
          <w:marRight w:val="0"/>
          <w:marTop w:val="0"/>
          <w:marBottom w:val="0"/>
          <w:divBdr>
            <w:top w:val="none" w:sz="0" w:space="0" w:color="auto"/>
            <w:left w:val="none" w:sz="0" w:space="0" w:color="auto"/>
            <w:bottom w:val="none" w:sz="0" w:space="0" w:color="auto"/>
            <w:right w:val="none" w:sz="0" w:space="0" w:color="auto"/>
          </w:divBdr>
          <w:divsChild>
            <w:div w:id="58602167">
              <w:marLeft w:val="0"/>
              <w:marRight w:val="0"/>
              <w:marTop w:val="0"/>
              <w:marBottom w:val="0"/>
              <w:divBdr>
                <w:top w:val="none" w:sz="0" w:space="0" w:color="auto"/>
                <w:left w:val="none" w:sz="0" w:space="0" w:color="auto"/>
                <w:bottom w:val="none" w:sz="0" w:space="0" w:color="auto"/>
                <w:right w:val="none" w:sz="0" w:space="0" w:color="auto"/>
              </w:divBdr>
              <w:divsChild>
                <w:div w:id="18279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819">
      <w:bodyDiv w:val="1"/>
      <w:marLeft w:val="0"/>
      <w:marRight w:val="0"/>
      <w:marTop w:val="0"/>
      <w:marBottom w:val="0"/>
      <w:divBdr>
        <w:top w:val="none" w:sz="0" w:space="0" w:color="auto"/>
        <w:left w:val="none" w:sz="0" w:space="0" w:color="auto"/>
        <w:bottom w:val="none" w:sz="0" w:space="0" w:color="auto"/>
        <w:right w:val="none" w:sz="0" w:space="0" w:color="auto"/>
      </w:divBdr>
      <w:divsChild>
        <w:div w:id="1537890761">
          <w:marLeft w:val="0"/>
          <w:marRight w:val="0"/>
          <w:marTop w:val="0"/>
          <w:marBottom w:val="0"/>
          <w:divBdr>
            <w:top w:val="none" w:sz="0" w:space="0" w:color="auto"/>
            <w:left w:val="none" w:sz="0" w:space="0" w:color="auto"/>
            <w:bottom w:val="none" w:sz="0" w:space="0" w:color="auto"/>
            <w:right w:val="none" w:sz="0" w:space="0" w:color="auto"/>
          </w:divBdr>
          <w:divsChild>
            <w:div w:id="1765497174">
              <w:marLeft w:val="0"/>
              <w:marRight w:val="0"/>
              <w:marTop w:val="0"/>
              <w:marBottom w:val="0"/>
              <w:divBdr>
                <w:top w:val="none" w:sz="0" w:space="0" w:color="auto"/>
                <w:left w:val="none" w:sz="0" w:space="0" w:color="auto"/>
                <w:bottom w:val="none" w:sz="0" w:space="0" w:color="auto"/>
                <w:right w:val="none" w:sz="0" w:space="0" w:color="auto"/>
              </w:divBdr>
              <w:divsChild>
                <w:div w:id="1128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5933">
      <w:bodyDiv w:val="1"/>
      <w:marLeft w:val="0"/>
      <w:marRight w:val="0"/>
      <w:marTop w:val="0"/>
      <w:marBottom w:val="0"/>
      <w:divBdr>
        <w:top w:val="none" w:sz="0" w:space="0" w:color="auto"/>
        <w:left w:val="none" w:sz="0" w:space="0" w:color="auto"/>
        <w:bottom w:val="none" w:sz="0" w:space="0" w:color="auto"/>
        <w:right w:val="none" w:sz="0" w:space="0" w:color="auto"/>
      </w:divBdr>
      <w:divsChild>
        <w:div w:id="1457333197">
          <w:marLeft w:val="0"/>
          <w:marRight w:val="0"/>
          <w:marTop w:val="0"/>
          <w:marBottom w:val="0"/>
          <w:divBdr>
            <w:top w:val="none" w:sz="0" w:space="0" w:color="auto"/>
            <w:left w:val="none" w:sz="0" w:space="0" w:color="auto"/>
            <w:bottom w:val="none" w:sz="0" w:space="0" w:color="auto"/>
            <w:right w:val="none" w:sz="0" w:space="0" w:color="auto"/>
          </w:divBdr>
          <w:divsChild>
            <w:div w:id="570849758">
              <w:marLeft w:val="0"/>
              <w:marRight w:val="0"/>
              <w:marTop w:val="0"/>
              <w:marBottom w:val="0"/>
              <w:divBdr>
                <w:top w:val="none" w:sz="0" w:space="0" w:color="auto"/>
                <w:left w:val="none" w:sz="0" w:space="0" w:color="auto"/>
                <w:bottom w:val="none" w:sz="0" w:space="0" w:color="auto"/>
                <w:right w:val="none" w:sz="0" w:space="0" w:color="auto"/>
              </w:divBdr>
              <w:divsChild>
                <w:div w:id="640503751">
                  <w:marLeft w:val="0"/>
                  <w:marRight w:val="0"/>
                  <w:marTop w:val="0"/>
                  <w:marBottom w:val="0"/>
                  <w:divBdr>
                    <w:top w:val="none" w:sz="0" w:space="0" w:color="auto"/>
                    <w:left w:val="none" w:sz="0" w:space="0" w:color="auto"/>
                    <w:bottom w:val="none" w:sz="0" w:space="0" w:color="auto"/>
                    <w:right w:val="none" w:sz="0" w:space="0" w:color="auto"/>
                  </w:divBdr>
                  <w:divsChild>
                    <w:div w:id="665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98">
      <w:bodyDiv w:val="1"/>
      <w:marLeft w:val="0"/>
      <w:marRight w:val="0"/>
      <w:marTop w:val="0"/>
      <w:marBottom w:val="0"/>
      <w:divBdr>
        <w:top w:val="none" w:sz="0" w:space="0" w:color="auto"/>
        <w:left w:val="none" w:sz="0" w:space="0" w:color="auto"/>
        <w:bottom w:val="none" w:sz="0" w:space="0" w:color="auto"/>
        <w:right w:val="none" w:sz="0" w:space="0" w:color="auto"/>
      </w:divBdr>
      <w:divsChild>
        <w:div w:id="1504390695">
          <w:marLeft w:val="0"/>
          <w:marRight w:val="0"/>
          <w:marTop w:val="0"/>
          <w:marBottom w:val="0"/>
          <w:divBdr>
            <w:top w:val="none" w:sz="0" w:space="0" w:color="auto"/>
            <w:left w:val="none" w:sz="0" w:space="0" w:color="auto"/>
            <w:bottom w:val="none" w:sz="0" w:space="0" w:color="auto"/>
            <w:right w:val="none" w:sz="0" w:space="0" w:color="auto"/>
          </w:divBdr>
          <w:divsChild>
            <w:div w:id="2078671017">
              <w:marLeft w:val="0"/>
              <w:marRight w:val="0"/>
              <w:marTop w:val="0"/>
              <w:marBottom w:val="0"/>
              <w:divBdr>
                <w:top w:val="none" w:sz="0" w:space="0" w:color="auto"/>
                <w:left w:val="none" w:sz="0" w:space="0" w:color="auto"/>
                <w:bottom w:val="none" w:sz="0" w:space="0" w:color="auto"/>
                <w:right w:val="none" w:sz="0" w:space="0" w:color="auto"/>
              </w:divBdr>
              <w:divsChild>
                <w:div w:id="259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1258">
      <w:bodyDiv w:val="1"/>
      <w:marLeft w:val="0"/>
      <w:marRight w:val="0"/>
      <w:marTop w:val="0"/>
      <w:marBottom w:val="0"/>
      <w:divBdr>
        <w:top w:val="none" w:sz="0" w:space="0" w:color="auto"/>
        <w:left w:val="none" w:sz="0" w:space="0" w:color="auto"/>
        <w:bottom w:val="none" w:sz="0" w:space="0" w:color="auto"/>
        <w:right w:val="none" w:sz="0" w:space="0" w:color="auto"/>
      </w:divBdr>
      <w:divsChild>
        <w:div w:id="640504431">
          <w:marLeft w:val="0"/>
          <w:marRight w:val="0"/>
          <w:marTop w:val="0"/>
          <w:marBottom w:val="0"/>
          <w:divBdr>
            <w:top w:val="none" w:sz="0" w:space="0" w:color="auto"/>
            <w:left w:val="none" w:sz="0" w:space="0" w:color="auto"/>
            <w:bottom w:val="none" w:sz="0" w:space="0" w:color="auto"/>
            <w:right w:val="none" w:sz="0" w:space="0" w:color="auto"/>
          </w:divBdr>
          <w:divsChild>
            <w:div w:id="1831408148">
              <w:marLeft w:val="0"/>
              <w:marRight w:val="0"/>
              <w:marTop w:val="0"/>
              <w:marBottom w:val="0"/>
              <w:divBdr>
                <w:top w:val="none" w:sz="0" w:space="0" w:color="auto"/>
                <w:left w:val="none" w:sz="0" w:space="0" w:color="auto"/>
                <w:bottom w:val="none" w:sz="0" w:space="0" w:color="auto"/>
                <w:right w:val="none" w:sz="0" w:space="0" w:color="auto"/>
              </w:divBdr>
              <w:divsChild>
                <w:div w:id="2083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9528">
      <w:bodyDiv w:val="1"/>
      <w:marLeft w:val="0"/>
      <w:marRight w:val="0"/>
      <w:marTop w:val="0"/>
      <w:marBottom w:val="0"/>
      <w:divBdr>
        <w:top w:val="none" w:sz="0" w:space="0" w:color="auto"/>
        <w:left w:val="none" w:sz="0" w:space="0" w:color="auto"/>
        <w:bottom w:val="none" w:sz="0" w:space="0" w:color="auto"/>
        <w:right w:val="none" w:sz="0" w:space="0" w:color="auto"/>
      </w:divBdr>
      <w:divsChild>
        <w:div w:id="648293987">
          <w:marLeft w:val="0"/>
          <w:marRight w:val="0"/>
          <w:marTop w:val="0"/>
          <w:marBottom w:val="0"/>
          <w:divBdr>
            <w:top w:val="none" w:sz="0" w:space="0" w:color="auto"/>
            <w:left w:val="none" w:sz="0" w:space="0" w:color="auto"/>
            <w:bottom w:val="none" w:sz="0" w:space="0" w:color="auto"/>
            <w:right w:val="none" w:sz="0" w:space="0" w:color="auto"/>
          </w:divBdr>
          <w:divsChild>
            <w:div w:id="635598931">
              <w:marLeft w:val="0"/>
              <w:marRight w:val="0"/>
              <w:marTop w:val="0"/>
              <w:marBottom w:val="0"/>
              <w:divBdr>
                <w:top w:val="none" w:sz="0" w:space="0" w:color="auto"/>
                <w:left w:val="none" w:sz="0" w:space="0" w:color="auto"/>
                <w:bottom w:val="none" w:sz="0" w:space="0" w:color="auto"/>
                <w:right w:val="none" w:sz="0" w:space="0" w:color="auto"/>
              </w:divBdr>
              <w:divsChild>
                <w:div w:id="5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943">
      <w:bodyDiv w:val="1"/>
      <w:marLeft w:val="0"/>
      <w:marRight w:val="0"/>
      <w:marTop w:val="0"/>
      <w:marBottom w:val="0"/>
      <w:divBdr>
        <w:top w:val="none" w:sz="0" w:space="0" w:color="auto"/>
        <w:left w:val="none" w:sz="0" w:space="0" w:color="auto"/>
        <w:bottom w:val="none" w:sz="0" w:space="0" w:color="auto"/>
        <w:right w:val="none" w:sz="0" w:space="0" w:color="auto"/>
      </w:divBdr>
      <w:divsChild>
        <w:div w:id="1660499579">
          <w:marLeft w:val="0"/>
          <w:marRight w:val="0"/>
          <w:marTop w:val="0"/>
          <w:marBottom w:val="0"/>
          <w:divBdr>
            <w:top w:val="none" w:sz="0" w:space="0" w:color="auto"/>
            <w:left w:val="none" w:sz="0" w:space="0" w:color="auto"/>
            <w:bottom w:val="none" w:sz="0" w:space="0" w:color="auto"/>
            <w:right w:val="none" w:sz="0" w:space="0" w:color="auto"/>
          </w:divBdr>
          <w:divsChild>
            <w:div w:id="1171985836">
              <w:marLeft w:val="0"/>
              <w:marRight w:val="0"/>
              <w:marTop w:val="0"/>
              <w:marBottom w:val="0"/>
              <w:divBdr>
                <w:top w:val="none" w:sz="0" w:space="0" w:color="auto"/>
                <w:left w:val="none" w:sz="0" w:space="0" w:color="auto"/>
                <w:bottom w:val="none" w:sz="0" w:space="0" w:color="auto"/>
                <w:right w:val="none" w:sz="0" w:space="0" w:color="auto"/>
              </w:divBdr>
              <w:divsChild>
                <w:div w:id="18192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5913">
      <w:bodyDiv w:val="1"/>
      <w:marLeft w:val="0"/>
      <w:marRight w:val="0"/>
      <w:marTop w:val="0"/>
      <w:marBottom w:val="0"/>
      <w:divBdr>
        <w:top w:val="none" w:sz="0" w:space="0" w:color="auto"/>
        <w:left w:val="none" w:sz="0" w:space="0" w:color="auto"/>
        <w:bottom w:val="none" w:sz="0" w:space="0" w:color="auto"/>
        <w:right w:val="none" w:sz="0" w:space="0" w:color="auto"/>
      </w:divBdr>
      <w:divsChild>
        <w:div w:id="1521318360">
          <w:marLeft w:val="0"/>
          <w:marRight w:val="0"/>
          <w:marTop w:val="0"/>
          <w:marBottom w:val="0"/>
          <w:divBdr>
            <w:top w:val="none" w:sz="0" w:space="0" w:color="auto"/>
            <w:left w:val="none" w:sz="0" w:space="0" w:color="auto"/>
            <w:bottom w:val="none" w:sz="0" w:space="0" w:color="auto"/>
            <w:right w:val="none" w:sz="0" w:space="0" w:color="auto"/>
          </w:divBdr>
          <w:divsChild>
            <w:div w:id="1059592198">
              <w:marLeft w:val="0"/>
              <w:marRight w:val="0"/>
              <w:marTop w:val="0"/>
              <w:marBottom w:val="0"/>
              <w:divBdr>
                <w:top w:val="none" w:sz="0" w:space="0" w:color="auto"/>
                <w:left w:val="none" w:sz="0" w:space="0" w:color="auto"/>
                <w:bottom w:val="none" w:sz="0" w:space="0" w:color="auto"/>
                <w:right w:val="none" w:sz="0" w:space="0" w:color="auto"/>
              </w:divBdr>
              <w:divsChild>
                <w:div w:id="1714841562">
                  <w:marLeft w:val="0"/>
                  <w:marRight w:val="0"/>
                  <w:marTop w:val="0"/>
                  <w:marBottom w:val="0"/>
                  <w:divBdr>
                    <w:top w:val="none" w:sz="0" w:space="0" w:color="auto"/>
                    <w:left w:val="none" w:sz="0" w:space="0" w:color="auto"/>
                    <w:bottom w:val="none" w:sz="0" w:space="0" w:color="auto"/>
                    <w:right w:val="none" w:sz="0" w:space="0" w:color="auto"/>
                  </w:divBdr>
                </w:div>
              </w:divsChild>
            </w:div>
            <w:div w:id="598828955">
              <w:marLeft w:val="0"/>
              <w:marRight w:val="0"/>
              <w:marTop w:val="0"/>
              <w:marBottom w:val="0"/>
              <w:divBdr>
                <w:top w:val="none" w:sz="0" w:space="0" w:color="auto"/>
                <w:left w:val="none" w:sz="0" w:space="0" w:color="auto"/>
                <w:bottom w:val="none" w:sz="0" w:space="0" w:color="auto"/>
                <w:right w:val="none" w:sz="0" w:space="0" w:color="auto"/>
              </w:divBdr>
              <w:divsChild>
                <w:div w:id="7889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423">
          <w:marLeft w:val="0"/>
          <w:marRight w:val="0"/>
          <w:marTop w:val="0"/>
          <w:marBottom w:val="0"/>
          <w:divBdr>
            <w:top w:val="none" w:sz="0" w:space="0" w:color="auto"/>
            <w:left w:val="none" w:sz="0" w:space="0" w:color="auto"/>
            <w:bottom w:val="none" w:sz="0" w:space="0" w:color="auto"/>
            <w:right w:val="none" w:sz="0" w:space="0" w:color="auto"/>
          </w:divBdr>
          <w:divsChild>
            <w:div w:id="1334525184">
              <w:marLeft w:val="0"/>
              <w:marRight w:val="0"/>
              <w:marTop w:val="0"/>
              <w:marBottom w:val="0"/>
              <w:divBdr>
                <w:top w:val="none" w:sz="0" w:space="0" w:color="auto"/>
                <w:left w:val="none" w:sz="0" w:space="0" w:color="auto"/>
                <w:bottom w:val="none" w:sz="0" w:space="0" w:color="auto"/>
                <w:right w:val="none" w:sz="0" w:space="0" w:color="auto"/>
              </w:divBdr>
              <w:divsChild>
                <w:div w:id="80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9240">
      <w:bodyDiv w:val="1"/>
      <w:marLeft w:val="0"/>
      <w:marRight w:val="0"/>
      <w:marTop w:val="0"/>
      <w:marBottom w:val="0"/>
      <w:divBdr>
        <w:top w:val="none" w:sz="0" w:space="0" w:color="auto"/>
        <w:left w:val="none" w:sz="0" w:space="0" w:color="auto"/>
        <w:bottom w:val="none" w:sz="0" w:space="0" w:color="auto"/>
        <w:right w:val="none" w:sz="0" w:space="0" w:color="auto"/>
      </w:divBdr>
    </w:div>
    <w:div w:id="1550917405">
      <w:bodyDiv w:val="1"/>
      <w:marLeft w:val="0"/>
      <w:marRight w:val="0"/>
      <w:marTop w:val="0"/>
      <w:marBottom w:val="0"/>
      <w:divBdr>
        <w:top w:val="none" w:sz="0" w:space="0" w:color="auto"/>
        <w:left w:val="none" w:sz="0" w:space="0" w:color="auto"/>
        <w:bottom w:val="none" w:sz="0" w:space="0" w:color="auto"/>
        <w:right w:val="none" w:sz="0" w:space="0" w:color="auto"/>
      </w:divBdr>
      <w:divsChild>
        <w:div w:id="14700141">
          <w:marLeft w:val="0"/>
          <w:marRight w:val="0"/>
          <w:marTop w:val="0"/>
          <w:marBottom w:val="0"/>
          <w:divBdr>
            <w:top w:val="none" w:sz="0" w:space="0" w:color="auto"/>
            <w:left w:val="none" w:sz="0" w:space="0" w:color="auto"/>
            <w:bottom w:val="none" w:sz="0" w:space="0" w:color="auto"/>
            <w:right w:val="none" w:sz="0" w:space="0" w:color="auto"/>
          </w:divBdr>
          <w:divsChild>
            <w:div w:id="808284121">
              <w:marLeft w:val="0"/>
              <w:marRight w:val="0"/>
              <w:marTop w:val="0"/>
              <w:marBottom w:val="0"/>
              <w:divBdr>
                <w:top w:val="none" w:sz="0" w:space="0" w:color="auto"/>
                <w:left w:val="none" w:sz="0" w:space="0" w:color="auto"/>
                <w:bottom w:val="none" w:sz="0" w:space="0" w:color="auto"/>
                <w:right w:val="none" w:sz="0" w:space="0" w:color="auto"/>
              </w:divBdr>
              <w:divsChild>
                <w:div w:id="818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57701">
      <w:bodyDiv w:val="1"/>
      <w:marLeft w:val="0"/>
      <w:marRight w:val="0"/>
      <w:marTop w:val="0"/>
      <w:marBottom w:val="0"/>
      <w:divBdr>
        <w:top w:val="none" w:sz="0" w:space="0" w:color="auto"/>
        <w:left w:val="none" w:sz="0" w:space="0" w:color="auto"/>
        <w:bottom w:val="none" w:sz="0" w:space="0" w:color="auto"/>
        <w:right w:val="none" w:sz="0" w:space="0" w:color="auto"/>
      </w:divBdr>
    </w:div>
    <w:div w:id="1700084921">
      <w:bodyDiv w:val="1"/>
      <w:marLeft w:val="0"/>
      <w:marRight w:val="0"/>
      <w:marTop w:val="0"/>
      <w:marBottom w:val="0"/>
      <w:divBdr>
        <w:top w:val="none" w:sz="0" w:space="0" w:color="auto"/>
        <w:left w:val="none" w:sz="0" w:space="0" w:color="auto"/>
        <w:bottom w:val="none" w:sz="0" w:space="0" w:color="auto"/>
        <w:right w:val="none" w:sz="0" w:space="0" w:color="auto"/>
      </w:divBdr>
      <w:divsChild>
        <w:div w:id="1898737271">
          <w:marLeft w:val="0"/>
          <w:marRight w:val="0"/>
          <w:marTop w:val="0"/>
          <w:marBottom w:val="0"/>
          <w:divBdr>
            <w:top w:val="none" w:sz="0" w:space="0" w:color="auto"/>
            <w:left w:val="none" w:sz="0" w:space="0" w:color="auto"/>
            <w:bottom w:val="none" w:sz="0" w:space="0" w:color="auto"/>
            <w:right w:val="none" w:sz="0" w:space="0" w:color="auto"/>
          </w:divBdr>
          <w:divsChild>
            <w:div w:id="534780192">
              <w:marLeft w:val="0"/>
              <w:marRight w:val="0"/>
              <w:marTop w:val="0"/>
              <w:marBottom w:val="0"/>
              <w:divBdr>
                <w:top w:val="none" w:sz="0" w:space="0" w:color="auto"/>
                <w:left w:val="none" w:sz="0" w:space="0" w:color="auto"/>
                <w:bottom w:val="none" w:sz="0" w:space="0" w:color="auto"/>
                <w:right w:val="none" w:sz="0" w:space="0" w:color="auto"/>
              </w:divBdr>
              <w:divsChild>
                <w:div w:id="18776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5447">
      <w:bodyDiv w:val="1"/>
      <w:marLeft w:val="0"/>
      <w:marRight w:val="0"/>
      <w:marTop w:val="0"/>
      <w:marBottom w:val="0"/>
      <w:divBdr>
        <w:top w:val="none" w:sz="0" w:space="0" w:color="auto"/>
        <w:left w:val="none" w:sz="0" w:space="0" w:color="auto"/>
        <w:bottom w:val="none" w:sz="0" w:space="0" w:color="auto"/>
        <w:right w:val="none" w:sz="0" w:space="0" w:color="auto"/>
      </w:divBdr>
      <w:divsChild>
        <w:div w:id="711878162">
          <w:marLeft w:val="0"/>
          <w:marRight w:val="0"/>
          <w:marTop w:val="0"/>
          <w:marBottom w:val="0"/>
          <w:divBdr>
            <w:top w:val="none" w:sz="0" w:space="0" w:color="auto"/>
            <w:left w:val="none" w:sz="0" w:space="0" w:color="auto"/>
            <w:bottom w:val="none" w:sz="0" w:space="0" w:color="auto"/>
            <w:right w:val="none" w:sz="0" w:space="0" w:color="auto"/>
          </w:divBdr>
          <w:divsChild>
            <w:div w:id="1431320287">
              <w:marLeft w:val="0"/>
              <w:marRight w:val="0"/>
              <w:marTop w:val="0"/>
              <w:marBottom w:val="0"/>
              <w:divBdr>
                <w:top w:val="none" w:sz="0" w:space="0" w:color="auto"/>
                <w:left w:val="none" w:sz="0" w:space="0" w:color="auto"/>
                <w:bottom w:val="none" w:sz="0" w:space="0" w:color="auto"/>
                <w:right w:val="none" w:sz="0" w:space="0" w:color="auto"/>
              </w:divBdr>
              <w:divsChild>
                <w:div w:id="20524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sChild>
        <w:div w:id="1432244165">
          <w:marLeft w:val="0"/>
          <w:marRight w:val="0"/>
          <w:marTop w:val="0"/>
          <w:marBottom w:val="0"/>
          <w:divBdr>
            <w:top w:val="none" w:sz="0" w:space="0" w:color="auto"/>
            <w:left w:val="none" w:sz="0" w:space="0" w:color="auto"/>
            <w:bottom w:val="none" w:sz="0" w:space="0" w:color="auto"/>
            <w:right w:val="none" w:sz="0" w:space="0" w:color="auto"/>
          </w:divBdr>
          <w:divsChild>
            <w:div w:id="2086226087">
              <w:marLeft w:val="0"/>
              <w:marRight w:val="0"/>
              <w:marTop w:val="0"/>
              <w:marBottom w:val="0"/>
              <w:divBdr>
                <w:top w:val="none" w:sz="0" w:space="0" w:color="auto"/>
                <w:left w:val="none" w:sz="0" w:space="0" w:color="auto"/>
                <w:bottom w:val="none" w:sz="0" w:space="0" w:color="auto"/>
                <w:right w:val="none" w:sz="0" w:space="0" w:color="auto"/>
              </w:divBdr>
              <w:divsChild>
                <w:div w:id="704594915">
                  <w:marLeft w:val="0"/>
                  <w:marRight w:val="0"/>
                  <w:marTop w:val="0"/>
                  <w:marBottom w:val="0"/>
                  <w:divBdr>
                    <w:top w:val="none" w:sz="0" w:space="0" w:color="auto"/>
                    <w:left w:val="none" w:sz="0" w:space="0" w:color="auto"/>
                    <w:bottom w:val="none" w:sz="0" w:space="0" w:color="auto"/>
                    <w:right w:val="none" w:sz="0" w:space="0" w:color="auto"/>
                  </w:divBdr>
                </w:div>
              </w:divsChild>
            </w:div>
            <w:div w:id="1263418391">
              <w:marLeft w:val="0"/>
              <w:marRight w:val="0"/>
              <w:marTop w:val="0"/>
              <w:marBottom w:val="0"/>
              <w:divBdr>
                <w:top w:val="none" w:sz="0" w:space="0" w:color="auto"/>
                <w:left w:val="none" w:sz="0" w:space="0" w:color="auto"/>
                <w:bottom w:val="none" w:sz="0" w:space="0" w:color="auto"/>
                <w:right w:val="none" w:sz="0" w:space="0" w:color="auto"/>
              </w:divBdr>
              <w:divsChild>
                <w:div w:id="1037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325">
          <w:marLeft w:val="0"/>
          <w:marRight w:val="0"/>
          <w:marTop w:val="0"/>
          <w:marBottom w:val="0"/>
          <w:divBdr>
            <w:top w:val="none" w:sz="0" w:space="0" w:color="auto"/>
            <w:left w:val="none" w:sz="0" w:space="0" w:color="auto"/>
            <w:bottom w:val="none" w:sz="0" w:space="0" w:color="auto"/>
            <w:right w:val="none" w:sz="0" w:space="0" w:color="auto"/>
          </w:divBdr>
          <w:divsChild>
            <w:div w:id="1365014355">
              <w:marLeft w:val="0"/>
              <w:marRight w:val="0"/>
              <w:marTop w:val="0"/>
              <w:marBottom w:val="0"/>
              <w:divBdr>
                <w:top w:val="none" w:sz="0" w:space="0" w:color="auto"/>
                <w:left w:val="none" w:sz="0" w:space="0" w:color="auto"/>
                <w:bottom w:val="none" w:sz="0" w:space="0" w:color="auto"/>
                <w:right w:val="none" w:sz="0" w:space="0" w:color="auto"/>
              </w:divBdr>
              <w:divsChild>
                <w:div w:id="15928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7439">
      <w:bodyDiv w:val="1"/>
      <w:marLeft w:val="0"/>
      <w:marRight w:val="0"/>
      <w:marTop w:val="0"/>
      <w:marBottom w:val="0"/>
      <w:divBdr>
        <w:top w:val="none" w:sz="0" w:space="0" w:color="auto"/>
        <w:left w:val="none" w:sz="0" w:space="0" w:color="auto"/>
        <w:bottom w:val="none" w:sz="0" w:space="0" w:color="auto"/>
        <w:right w:val="none" w:sz="0" w:space="0" w:color="auto"/>
      </w:divBdr>
      <w:divsChild>
        <w:div w:id="68115709">
          <w:marLeft w:val="0"/>
          <w:marRight w:val="0"/>
          <w:marTop w:val="0"/>
          <w:marBottom w:val="0"/>
          <w:divBdr>
            <w:top w:val="none" w:sz="0" w:space="0" w:color="auto"/>
            <w:left w:val="none" w:sz="0" w:space="0" w:color="auto"/>
            <w:bottom w:val="none" w:sz="0" w:space="0" w:color="auto"/>
            <w:right w:val="none" w:sz="0" w:space="0" w:color="auto"/>
          </w:divBdr>
          <w:divsChild>
            <w:div w:id="1257590062">
              <w:marLeft w:val="0"/>
              <w:marRight w:val="0"/>
              <w:marTop w:val="0"/>
              <w:marBottom w:val="0"/>
              <w:divBdr>
                <w:top w:val="none" w:sz="0" w:space="0" w:color="auto"/>
                <w:left w:val="none" w:sz="0" w:space="0" w:color="auto"/>
                <w:bottom w:val="none" w:sz="0" w:space="0" w:color="auto"/>
                <w:right w:val="none" w:sz="0" w:space="0" w:color="auto"/>
              </w:divBdr>
              <w:divsChild>
                <w:div w:id="1800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Fox</dc:creator>
  <cp:lastModifiedBy>GP.M89601</cp:lastModifiedBy>
  <cp:revision>2</cp:revision>
  <cp:lastPrinted>2022-09-15T13:22:00Z</cp:lastPrinted>
  <dcterms:created xsi:type="dcterms:W3CDTF">2022-09-15T13:22:00Z</dcterms:created>
  <dcterms:modified xsi:type="dcterms:W3CDTF">2022-09-15T13:22:00Z</dcterms:modified>
</cp:coreProperties>
</file>